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杭州市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区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教育局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关于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招用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公办幼儿园劳动合同制教师的通知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各教育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辅导站（中心学校）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、镇(街道)公办幼儿园：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    为提升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我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区公办幼儿园的整体发展水平，决定面向我区公办幼儿园在岗非编教师招用劳动合同制教师(非事业编制)，现将有关事项通知如下：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  <w:t>一、招用对象和计划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    本次招用面向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区公办幼儿园在岗非编教师，计划招用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528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名，具体招用计划指标详见《杭州市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区公办幼儿园劳动合同制教师招用计划表》。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  <w:t>二、招用条件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拥护党的基本路线，热爱教育事业，具备良好的职业素养，服从组织工作安排，遵纪守法，品行端正，无惩处记录，身体健康。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户籍不限。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年龄在50周岁以下(197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28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日以后出生)，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我区幼儿园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（含民办）任教经历（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教龄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）累计满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12个月及以上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，且目前在我区公办幼儿园任教。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大专及以上学历。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5.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要求适用的教师资格证和二级乙等及以上普通话等级证书。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  <w:t>三、资格初审和考核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资格初审和考核由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各相关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公办幼儿园组织。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t>资格初审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资格初审时间：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202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日下午4：00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之前完成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由报考人员所在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幼儿园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对其进行资格初审，须审核的材料：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①居民身份证(正反两面)。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②学历证书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、中国高等教育学历认证报告（2002年以前取得）或学历证书电子注册备案表（2002年以后取得）。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③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适用的教师资格证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和二级乙等及以上普通话等级证书。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④“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任教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经历”以签订的劳动(聘用)合同、社保缴费记录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及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其他有效证明为准，在普通高校就读期间参加社会实践、实习、兼职等不能作为工作经历。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2.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t>考核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考核时间：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202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日下午4：00之前完成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由报考人员所在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幼儿园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对其在职期间的师德表现、工作态度、工作业绩进行考核，并出具考核结果，考核结果分为合格与不合格两类，考核合格人员方可参加笔试环节。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3.校内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公示资格初审和工作考核结果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eastAsia="zh-CN"/>
        </w:rPr>
        <w:t>时间：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2023年12月24-27日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  <w:t>四、报名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通过资格初审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和工作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考核合格人员可参加报名，本次招用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采用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网上报名的方式进行。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t>(一)网上报名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时间：202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日上午9：00-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日中午12：00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报名系统链接:http://125.124.24.208:8182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首次进入系统，输入姓名、身份证号、密码、验证码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后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点击“注册”按钮（下次可直接点击“登录”进入系统）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,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进入系统后签署考生同意报考承诺书，上传本人证件照后进入“我的报考信息”页面，填写考生基本信息后选择报考岗位。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资格审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查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将贯穿整个招用过程，明知不符合基本条件或不符合岗位条件仍报名的，在任何环节被审核发现的，都将取消招用资格，后果由报考人员所在工作单位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及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其本人承担。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t>(二)下载打印准考证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时间：202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日上午9：00-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日上午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：00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报名人员在规定时间内登录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“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eastAsia="zh-CN"/>
        </w:rPr>
        <w:t>临安区教育局招用劳动合同制教师报考系统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”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，下载并打印准考证及违纪违规处理规定，逾期后果自负。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  <w:t>五、考试内容与方法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本次招用采用笔试的形式进行。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1.笔试时间：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202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</w:rPr>
        <w:t>日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上午9：00-11：00。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笔试地点以准考证为准。报考人员须凭准考证和身份证原件(两证缺一不可)参加笔试。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2.笔试内容：笔试科目为1门，内容为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教育政策法规、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学前教育专业知识及教学实践能力，卷面满分为100分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其中教育政策法规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占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10分，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学前教育专业知识占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0分，教学实践能力占30分。本次笔试不指定考试大纲和参考用书，不举办也不授权或委托任何单位举办任何形式的培训班。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3.成绩查询：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按照教师招用相关的查分规则进行，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时间另行通知。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eastAsia="zh-CN"/>
        </w:rPr>
        <w:t>六、录取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  <w:t>、体检、考察、招用和薪酬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（一）录取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根据全区报名人数的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95%划定录取资格线，上线考生遵循志愿优先原则，分批依名次号录取。成绩排名规则：依据卷面总分从高到低排序；当卷面总分相同时，按学前教育专业知识和教学实践能力的总分排序；学前教育专业知识和教学实践能力的总分相同时，再按以下顺序及分数高低排序：学前教育专业知识成绩高的考生、教学实践能力成绩高的考生。若仍相同，则进行加试，加试形式为结构化面试，加试成绩高的排名靠前(下同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第一批（第一志愿报名考生）：以幼儿园为单位，根据成绩排名先后依次录取。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第二批（第二志愿报名考生）：第一批录取后，在尚有招用岗位的情况下，第二志愿考生依据现工作幼儿园所在片（锦城、玲珑、於潜、昌化），根据成绩排名先后依次在本片幼儿园剩余岗位中选岗，选岗时间另行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第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三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批（第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三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志愿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报名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考生）：第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二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批录取后，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在尚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招用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岗位的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情况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下，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第三志愿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根据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成绩排名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先后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依次在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全区幼儿园剩余岗位中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选岗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，选岗时间另行通知。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t>(二)体检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体检按《浙江省教师资格认定体检标准及操作规程》执行，体检费用个人自理。不按规定时间、地点参加体检的，视作放弃体检。若有放弃体检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体检不合格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产生的空岗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不再递补。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体检时间和地点另行通知。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t>(三)考察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体检后，由用人单位组织考察。主要了解考察对象的思想政治表现、道德品质和业务能力等情况。考察不合格或自动放弃考察的，取消招用资格，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由此产生的空岗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不再递补。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  <w:t>(四)招用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考察合格，经公示无异议的，公示结束后确定拟招用人员。拟招用人员根据通知到相应幼儿园办理报到手续，并通过劳务派遣形式与劳务派遣公司签订用工合同。拟招用人员不按时报到，取消招用资格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，由此产生的空岗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不再递补。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  <w:t>七、其他事项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1.招用程序相关信息，请及时关注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eastAsia="zh-CN"/>
        </w:rPr>
        <w:t>临安教育网公示栏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，不再另行通知，逾期责任自负。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2.在招用程序中，如发现有资格不符、提供材料不实和考试作弊、程序缺席等情形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取消考生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报考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资格。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本公告由杭州市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区教育局负责解释。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政策咨询电话：0571-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61060899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监督投诉电话：0571-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63805979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(上午9：00-11：30，下午14：00-17：00)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附件：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1.杭州市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区公办幼儿园劳动合同制教师招用计划表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2.杭州市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区公办幼儿园劳动合同制教师招用资格审核表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3.杭州市临安区公办幼儿园劳动合同制教师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考核表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leftChars="0" w:hanging="280" w:hangingChars="1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杭州市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区公办幼儿园劳动合同制教师招用资格审核和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考核结果汇总表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5.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杭州市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区公办幼儿园劳动合同制教师招用报名表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杭州市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区教育局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2023年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18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杭州市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区公办幼儿园劳动合同制教师招用计划表</w:t>
      </w:r>
    </w:p>
    <w:tbl>
      <w:tblPr>
        <w:tblStyle w:val="4"/>
        <w:tblW w:w="8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25"/>
        <w:gridCol w:w="4538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所属片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  儿  园  全  称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招用合同制教师数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片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杭州市临安区锦城中心幼儿园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杭州市临安区锦城街道中心幼儿园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杭州市临安区锦城街道滨湖幼儿园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杭州市临安区锦城街道新城幼儿园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杭州市临安区锦城街道长路畈幼儿园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杭州市临安区锦南街道中心幼儿园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杭州市临安区锦南街道学府路幼儿园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杭州市临安区锦北街道中心幼儿园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杭州市临安区锦北街道马溪幼儿园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杭州市临安区锦北街道苕溪幼儿园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杭州市临安区玲珑街道中心幼儿园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杭州市临安区玲珑街道启恒幼儿园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片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杭州市临安区板桥镇中心幼儿园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杭州市临安区高虹镇中心幼儿园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杭州市临安区太湖源镇中心幼儿园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杭州市临安区青山湖街道中心幼儿园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杭州市临安区青山湖街道大园新城幼儿园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杭州市临安区青山湖科技城青蕾幼儿园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杭州市临安区青山湖街道星汇幼儿园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杭州市临安区青山湖街道中天珺府幼儿园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杭州市临安区青山湖街道横畈幼儿园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片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杭州市临安区於潜镇中心幼儿园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杭州市临安区太阳镇中心幼儿园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杭州市临安区天目山镇中心幼儿园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杭州市临安区潜川镇中心幼儿园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杭州市临安区於潜镇千洪幼儿园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片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杭州市临安区龙岗镇中心幼儿园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杭州市临安区清凉峰镇中心幼儿园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杭州市临安区河桥镇中心幼儿园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杭州市临安区湍口镇中心幼儿园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/>
          <w:color w:val="auto"/>
          <w:sz w:val="36"/>
          <w:szCs w:val="36"/>
          <w:lang w:val="en-US" w:eastAsia="zh-CN"/>
        </w:rPr>
      </w:pPr>
      <w:r>
        <w:rPr>
          <w:rFonts w:hint="default" w:ascii="宋体" w:hAnsi="宋体" w:eastAsia="宋体"/>
          <w:color w:val="auto"/>
          <w:sz w:val="36"/>
          <w:szCs w:val="36"/>
          <w:lang w:val="en-US" w:eastAsia="zh-CN"/>
        </w:rPr>
        <w:t>杭州市临安区公办幼儿园劳动合同制教师招用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 w:ascii="宋体" w:hAnsi="宋体" w:eastAsia="宋体"/>
          <w:color w:val="auto"/>
          <w:sz w:val="36"/>
          <w:szCs w:val="36"/>
          <w:lang w:val="en-US" w:eastAsia="zh-CN"/>
        </w:rPr>
      </w:pPr>
      <w:r>
        <w:rPr>
          <w:rFonts w:hint="default" w:ascii="宋体" w:hAnsi="宋体" w:eastAsia="宋体"/>
          <w:color w:val="auto"/>
          <w:sz w:val="36"/>
          <w:szCs w:val="36"/>
          <w:lang w:val="en-US" w:eastAsia="zh-CN"/>
        </w:rPr>
        <w:t>资格审核表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left"/>
        <w:textAlignment w:val="auto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审核单位(盖章)：</w:t>
      </w:r>
      <w:r>
        <w:rPr>
          <w:rFonts w:ascii="宋体" w:hAnsi="宋体" w:eastAsia="宋体"/>
          <w:color w:val="auto"/>
          <w:sz w:val="28"/>
          <w:szCs w:val="28"/>
        </w:rPr>
        <w:cr/>
      </w:r>
      <w:r>
        <w:rPr>
          <w:rFonts w:ascii="宋体" w:hAnsi="宋体" w:eastAsia="宋体"/>
          <w:color w:val="auto"/>
          <w:sz w:val="28"/>
          <w:szCs w:val="28"/>
        </w:rPr>
        <w:t xml:space="preserve">审核对象(姓名)： 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宋体" w:hAnsi="宋体" w:eastAsia="宋体"/>
          <w:color w:val="auto"/>
          <w:sz w:val="28"/>
          <w:szCs w:val="28"/>
        </w:rPr>
        <w:t>身份证号：</w:t>
      </w:r>
    </w:p>
    <w:tbl>
      <w:tblPr>
        <w:tblStyle w:val="4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8"/>
        <w:gridCol w:w="2813"/>
        <w:gridCol w:w="2975"/>
        <w:gridCol w:w="134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条件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审核要求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佐证材料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审核结果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(符合或不符合)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年龄在50周岁以下(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197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日以后出生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)。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本人居民身份证复印件(正反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)</w:t>
            </w:r>
          </w:p>
        </w:tc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任教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我区幼儿园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（含民办）任教经历（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教龄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）累计满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12个月及以上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，且目前在我区公办幼儿园任教。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相应的劳动合同、社保证明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其他有效证明材料</w:t>
            </w:r>
          </w:p>
        </w:tc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大专及以上学历。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学历证书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中国高等教育学历认证报告（2002年以前取得）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学历证书电子注册备案表（2002年以后取得）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7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资格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适用的教师资格证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教师资格证书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水平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二级乙等及以上普通话等级证书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普通话水平证书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ascii="宋体" w:hAnsi="宋体" w:eastAsia="宋体"/>
          <w:color w:val="auto"/>
          <w:sz w:val="28"/>
          <w:szCs w:val="28"/>
        </w:rPr>
        <w:t>审核单位负责人(签字)：</w:t>
      </w:r>
      <w:r>
        <w:rPr>
          <w:rFonts w:ascii="宋体" w:hAnsi="宋体" w:eastAsia="宋体"/>
          <w:color w:val="auto"/>
          <w:sz w:val="28"/>
          <w:szCs w:val="28"/>
        </w:rPr>
        <w:cr/>
      </w:r>
      <w:r>
        <w:rPr>
          <w:rFonts w:ascii="宋体" w:hAnsi="宋体" w:eastAsia="宋体"/>
          <w:color w:val="auto"/>
          <w:sz w:val="28"/>
          <w:szCs w:val="28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                                 </w:t>
      </w:r>
      <w:r>
        <w:rPr>
          <w:rFonts w:ascii="宋体" w:hAnsi="宋体" w:eastAsia="宋体"/>
          <w:color w:val="auto"/>
          <w:sz w:val="28"/>
          <w:szCs w:val="28"/>
        </w:rPr>
        <w:t xml:space="preserve">  202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3</w:t>
      </w:r>
      <w:r>
        <w:rPr>
          <w:rFonts w:ascii="宋体" w:hAnsi="宋体" w:eastAsia="宋体"/>
          <w:color w:val="auto"/>
          <w:sz w:val="28"/>
          <w:szCs w:val="28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12</w:t>
      </w:r>
      <w:r>
        <w:rPr>
          <w:rFonts w:ascii="宋体" w:hAnsi="宋体" w:eastAsia="宋体"/>
          <w:color w:val="auto"/>
          <w:sz w:val="28"/>
          <w:szCs w:val="28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说明：相关证明材料上签署“与原件核对无误”意见、核对人签名并加盖公章，依次附后装订成册于12月25日前上交至人事科。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附件</w:t>
      </w:r>
      <w:r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  <w:t>杭州市临安区公办幼儿园劳动合同制教师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  <w:t>工作</w:t>
      </w:r>
      <w:r>
        <w:rPr>
          <w:rFonts w:hint="default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  <w:t>考核表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考核</w:t>
      </w:r>
      <w:r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单位(盖章)：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考核</w:t>
      </w:r>
      <w:r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highlight w:val="none"/>
          <w:lang w:val="en-US" w:eastAsia="zh-CN"/>
        </w:rPr>
        <w:t>对</w:t>
      </w:r>
      <w:r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象(姓名)：           身份证号：</w:t>
      </w:r>
    </w:p>
    <w:tbl>
      <w:tblPr>
        <w:tblStyle w:val="4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1395"/>
        <w:gridCol w:w="4104"/>
        <w:gridCol w:w="198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2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考核项目</w:t>
            </w: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考核内容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考核结果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(合格或不合格)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师德表现</w:t>
            </w:r>
          </w:p>
        </w:tc>
        <w:tc>
          <w:tcPr>
            <w:tcW w:w="4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遵纪守法，遵守教师职业道德规范和职业行为准则，具有良好的思想政治素质和师德修养，爱岗敬业，为人师表，无任何违反师德师风情况。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工作态度</w:t>
            </w:r>
          </w:p>
        </w:tc>
        <w:tc>
          <w:tcPr>
            <w:tcW w:w="4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幼教事业，工作认真负责，态度勤恳，按时到岗，认真履行各项职责，扎实做好本职工作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工作安排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，认真参加园内外各项集体活动。</w:t>
            </w:r>
          </w:p>
        </w:tc>
        <w:tc>
          <w:tcPr>
            <w:tcW w:w="198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工作绩效</w:t>
            </w:r>
          </w:p>
        </w:tc>
        <w:tc>
          <w:tcPr>
            <w:tcW w:w="4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教育教学过程规范有效，注重保教结合；积极参加各类教师培训和校本研修活动，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认真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撰写课题、论文和案例等，并取得一定教科研成果。</w:t>
            </w:r>
          </w:p>
        </w:tc>
        <w:tc>
          <w:tcPr>
            <w:tcW w:w="198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3" w:hRule="atLeast"/>
        </w:trPr>
        <w:tc>
          <w:tcPr>
            <w:tcW w:w="63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综合结论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(说明：其中师德表现、工作态度和工作绩效有一项及以上不合格，综合结论即为不合格)</w:t>
            </w:r>
          </w:p>
        </w:tc>
        <w:tc>
          <w:tcPr>
            <w:tcW w:w="198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考核单位负责人签字：</w:t>
      </w:r>
      <w:r>
        <w:rPr>
          <w:rFonts w:ascii="宋体" w:hAnsi="宋体" w:eastAsia="宋体"/>
          <w:color w:val="auto"/>
          <w:sz w:val="28"/>
          <w:szCs w:val="28"/>
        </w:rPr>
        <w:cr/>
      </w:r>
      <w:r>
        <w:rPr>
          <w:rFonts w:ascii="宋体" w:hAnsi="宋体" w:eastAsia="宋体"/>
          <w:color w:val="auto"/>
          <w:sz w:val="28"/>
          <w:szCs w:val="28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宋体" w:hAnsi="宋体" w:eastAsia="宋体"/>
          <w:color w:val="auto"/>
          <w:sz w:val="28"/>
          <w:szCs w:val="28"/>
        </w:rPr>
        <w:t xml:space="preserve">  2023年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12</w:t>
      </w:r>
      <w:r>
        <w:rPr>
          <w:rFonts w:ascii="宋体" w:hAnsi="宋体" w:eastAsia="宋体"/>
          <w:color w:val="auto"/>
          <w:sz w:val="28"/>
          <w:szCs w:val="28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附件4</w:t>
      </w:r>
    </w:p>
    <w:tbl>
      <w:tblPr>
        <w:tblStyle w:val="4"/>
        <w:tblpPr w:leftFromText="180" w:rightFromText="180" w:vertAnchor="text" w:horzAnchor="page" w:tblpX="1683" w:tblpY="827"/>
        <w:tblOverlap w:val="never"/>
        <w:tblW w:w="13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04"/>
        <w:gridCol w:w="1183"/>
        <w:gridCol w:w="825"/>
        <w:gridCol w:w="1913"/>
        <w:gridCol w:w="950"/>
        <w:gridCol w:w="1687"/>
        <w:gridCol w:w="1075"/>
        <w:gridCol w:w="1100"/>
        <w:gridCol w:w="913"/>
        <w:gridCol w:w="1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幼儿园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教师资格证号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资格审核结果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杭州市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区公办幼儿园劳动合同制教师招用资格审核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和工作考核结果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2023年12月25日前上交人事科（纸质稿、电子稿）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杭州市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临安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区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教育局招用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公办幼儿园劳动合同制教师报名表</w:t>
      </w:r>
    </w:p>
    <w:tbl>
      <w:tblPr>
        <w:tblStyle w:val="4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8"/>
        <w:gridCol w:w="937"/>
        <w:gridCol w:w="533"/>
        <w:gridCol w:w="67"/>
        <w:gridCol w:w="160"/>
        <w:gridCol w:w="713"/>
        <w:gridCol w:w="214"/>
        <w:gridCol w:w="173"/>
        <w:gridCol w:w="445"/>
        <w:gridCol w:w="718"/>
        <w:gridCol w:w="150"/>
        <w:gridCol w:w="2"/>
        <w:gridCol w:w="625"/>
        <w:gridCol w:w="635"/>
        <w:gridCol w:w="17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一寸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32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毕业学校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与专业</w:t>
            </w:r>
          </w:p>
        </w:tc>
        <w:tc>
          <w:tcPr>
            <w:tcW w:w="27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在职最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高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毕业学校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与专业</w:t>
            </w:r>
          </w:p>
        </w:tc>
        <w:tc>
          <w:tcPr>
            <w:tcW w:w="451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普通话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等级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教师资格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证号码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(学段及学科)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242" w:type="dxa"/>
            <w:gridSpan w:val="8"/>
            <w:vAlign w:val="center"/>
          </w:tcPr>
          <w:p>
            <w:pPr>
              <w:jc w:val="both"/>
              <w:rPr>
                <w:rFonts w:hint="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（与学校公章一致）</w:t>
            </w:r>
          </w:p>
          <w:p>
            <w:pPr>
              <w:jc w:val="both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5" w:hRule="atLeast"/>
        </w:trPr>
        <w:tc>
          <w:tcPr>
            <w:tcW w:w="20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资格审核结果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(符合或不符合)</w:t>
            </w:r>
          </w:p>
        </w:tc>
        <w:tc>
          <w:tcPr>
            <w:tcW w:w="186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考核结果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(合格或不合格)</w:t>
            </w:r>
          </w:p>
        </w:tc>
        <w:tc>
          <w:tcPr>
            <w:tcW w:w="24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志愿</w:t>
            </w:r>
          </w:p>
        </w:tc>
        <w:tc>
          <w:tcPr>
            <w:tcW w:w="169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第一志愿</w:t>
            </w:r>
          </w:p>
        </w:tc>
        <w:tc>
          <w:tcPr>
            <w:tcW w:w="226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报考本园岗位</w:t>
            </w:r>
          </w:p>
        </w:tc>
        <w:tc>
          <w:tcPr>
            <w:tcW w:w="318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（是否同意）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第二志愿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服从片内交流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（是否同意）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第三志愿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服从区内交流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（是否同意）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0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14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以上填写内容均属实，如有隐瞒或做假，后果自负。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840" w:firstLineChars="1600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2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报考人员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7140" w:type="dxa"/>
            <w:gridSpan w:val="14"/>
            <w:vAlign w:val="bottom"/>
          </w:tcPr>
          <w:p>
            <w:pPr>
              <w:ind w:firstLine="1440" w:firstLineChars="600"/>
              <w:jc w:val="righ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  <w:p>
            <w:pPr>
              <w:ind w:firstLine="1440" w:firstLineChars="600"/>
              <w:jc w:val="right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负责人签名：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盖章(公章)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/>
              <w:ind w:firstLine="5040" w:firstLineChars="2100"/>
              <w:jc w:val="righ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此表从报名系统下载打印后签字盖章，月底前上交人事科。</w:t>
      </w:r>
    </w:p>
    <w:p>
      <w:pPr>
        <w:jc w:val="center"/>
        <w:rPr>
          <w:rFonts w:hint="eastAsia" w:ascii="微软雅黑" w:hAnsi="微软雅黑" w:eastAsia="微软雅黑" w:cs="微软雅黑"/>
          <w:color w:val="auto"/>
          <w:sz w:val="44"/>
          <w:szCs w:val="52"/>
        </w:rPr>
      </w:pPr>
      <w:r>
        <w:rPr>
          <w:rFonts w:hint="eastAsia" w:ascii="微软雅黑" w:hAnsi="微软雅黑" w:eastAsia="微软雅黑" w:cs="微软雅黑"/>
          <w:color w:val="auto"/>
          <w:sz w:val="44"/>
          <w:szCs w:val="52"/>
        </w:rPr>
        <w:t>承</w:t>
      </w:r>
      <w:r>
        <w:rPr>
          <w:rFonts w:hint="eastAsia" w:ascii="微软雅黑" w:hAnsi="微软雅黑" w:eastAsia="微软雅黑" w:cs="微软雅黑"/>
          <w:color w:val="auto"/>
          <w:sz w:val="44"/>
          <w:szCs w:val="5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44"/>
          <w:szCs w:val="52"/>
        </w:rPr>
        <w:t>诺</w:t>
      </w:r>
      <w:r>
        <w:rPr>
          <w:rFonts w:hint="eastAsia" w:ascii="微软雅黑" w:hAnsi="微软雅黑" w:eastAsia="微软雅黑" w:cs="微软雅黑"/>
          <w:color w:val="auto"/>
          <w:sz w:val="44"/>
          <w:szCs w:val="5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44"/>
          <w:szCs w:val="52"/>
        </w:rPr>
        <w:t>书</w:t>
      </w:r>
      <w:bookmarkStart w:id="0" w:name="_GoBack"/>
      <w:bookmarkEnd w:id="0"/>
    </w:p>
    <w:p>
      <w:pPr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>本人郑重承诺：</w:t>
      </w:r>
    </w:p>
    <w:p>
      <w:pPr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 xml:space="preserve">    一、对本次招用考试的相关政策信息、流程信息和岗位信息等均已知晓。</w:t>
      </w:r>
    </w:p>
    <w:p>
      <w:pPr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 xml:space="preserve">    二、报名时提交的所有报考信息、证件资料和佐证材料等真实、准确，如有虚假，自愿承担一切责任。</w:t>
      </w:r>
    </w:p>
    <w:p>
      <w:pPr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 xml:space="preserve">    三、对于本次</w:t>
      </w:r>
      <w:r>
        <w:rPr>
          <w:rFonts w:hint="eastAsia" w:ascii="宋体" w:hAnsi="宋体" w:eastAsia="宋体" w:cs="宋体"/>
          <w:color w:val="auto"/>
          <w:sz w:val="28"/>
          <w:szCs w:val="36"/>
          <w:lang w:eastAsia="zh-CN"/>
        </w:rPr>
        <w:t>临安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区公办幼儿园劳动合同制教师招用组织所有流程方式均认可，同时无论考上与否，事后均不对本次招用考试提出异议。</w:t>
      </w:r>
    </w:p>
    <w:p>
      <w:pPr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 xml:space="preserve">    四、整个招用过程中做</w:t>
      </w:r>
      <w:r>
        <w:rPr>
          <w:rFonts w:hint="eastAsia" w:ascii="宋体" w:hAnsi="宋体" w:eastAsia="宋体" w:cs="宋体"/>
          <w:color w:val="auto"/>
          <w:sz w:val="28"/>
          <w:szCs w:val="36"/>
          <w:lang w:eastAsia="zh-CN"/>
        </w:rPr>
        <w:t>到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不散布、不传播、不讨论、不炒作任何关于本次劳动合同制教师招用的所有信息，严格遵守各项工作纪律和要求。</w:t>
      </w:r>
    </w:p>
    <w:p>
      <w:pPr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 xml:space="preserve">    五、自觉遵守相关法律和考试纪律，诚信考试，一经发现任何作弊行为，本次考试成绩作零分处理。</w:t>
      </w:r>
    </w:p>
    <w:p>
      <w:pPr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 xml:space="preserve">    以上承诺，如有违反，</w:t>
      </w:r>
      <w:r>
        <w:rPr>
          <w:rFonts w:hint="eastAsia" w:ascii="宋体" w:hAnsi="宋体" w:eastAsia="宋体" w:cs="宋体"/>
          <w:color w:val="auto"/>
          <w:sz w:val="28"/>
          <w:szCs w:val="36"/>
          <w:lang w:eastAsia="zh-CN"/>
        </w:rPr>
        <w:t>本人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自愿承担相应的责任。</w:t>
      </w:r>
    </w:p>
    <w:p>
      <w:pPr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 xml:space="preserve"> </w:t>
      </w:r>
    </w:p>
    <w:p>
      <w:pPr>
        <w:ind w:firstLine="3920" w:firstLineChars="1400"/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 xml:space="preserve">   承诺人(签字)：</w:t>
      </w:r>
    </w:p>
    <w:p>
      <w:pPr>
        <w:rPr>
          <w:rFonts w:hint="default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color w:val="auto"/>
          <w:sz w:val="28"/>
          <w:szCs w:val="36"/>
        </w:rPr>
        <w:t xml:space="preserve">  2023年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日</w:t>
      </w: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82A95"/>
    <w:rsid w:val="0283164A"/>
    <w:rsid w:val="066A25A7"/>
    <w:rsid w:val="06F354AF"/>
    <w:rsid w:val="07881C3B"/>
    <w:rsid w:val="07EC7D90"/>
    <w:rsid w:val="0A1D24A0"/>
    <w:rsid w:val="0ACC29AA"/>
    <w:rsid w:val="0E201305"/>
    <w:rsid w:val="0F0418A1"/>
    <w:rsid w:val="1067042C"/>
    <w:rsid w:val="14A41197"/>
    <w:rsid w:val="166F6BBB"/>
    <w:rsid w:val="17E5315F"/>
    <w:rsid w:val="18401E8B"/>
    <w:rsid w:val="18F633A9"/>
    <w:rsid w:val="19363EF9"/>
    <w:rsid w:val="19A41184"/>
    <w:rsid w:val="1ABF306F"/>
    <w:rsid w:val="1F1F4F31"/>
    <w:rsid w:val="1F2349C4"/>
    <w:rsid w:val="2008261D"/>
    <w:rsid w:val="203D4F1D"/>
    <w:rsid w:val="21725123"/>
    <w:rsid w:val="217F3DFC"/>
    <w:rsid w:val="25424BC9"/>
    <w:rsid w:val="28991EF0"/>
    <w:rsid w:val="29EE3B69"/>
    <w:rsid w:val="2E893541"/>
    <w:rsid w:val="319131DE"/>
    <w:rsid w:val="31DE4F30"/>
    <w:rsid w:val="33043032"/>
    <w:rsid w:val="379A2C32"/>
    <w:rsid w:val="385D692C"/>
    <w:rsid w:val="39A67D9E"/>
    <w:rsid w:val="3A8E12D3"/>
    <w:rsid w:val="3B50553B"/>
    <w:rsid w:val="3C471468"/>
    <w:rsid w:val="3D103578"/>
    <w:rsid w:val="3DD6308A"/>
    <w:rsid w:val="40770942"/>
    <w:rsid w:val="409B4C85"/>
    <w:rsid w:val="42104D37"/>
    <w:rsid w:val="43875E88"/>
    <w:rsid w:val="474C6805"/>
    <w:rsid w:val="477B51C2"/>
    <w:rsid w:val="48A147B6"/>
    <w:rsid w:val="4C304C98"/>
    <w:rsid w:val="5147640A"/>
    <w:rsid w:val="51F93209"/>
    <w:rsid w:val="52056C3A"/>
    <w:rsid w:val="533C3572"/>
    <w:rsid w:val="556F254C"/>
    <w:rsid w:val="567A4F69"/>
    <w:rsid w:val="57A258E2"/>
    <w:rsid w:val="58620951"/>
    <w:rsid w:val="58B04B93"/>
    <w:rsid w:val="5A126364"/>
    <w:rsid w:val="5BF52B5A"/>
    <w:rsid w:val="5F277B50"/>
    <w:rsid w:val="610E3AA7"/>
    <w:rsid w:val="62824C66"/>
    <w:rsid w:val="647E3FA3"/>
    <w:rsid w:val="64935B7C"/>
    <w:rsid w:val="687B4782"/>
    <w:rsid w:val="69082A95"/>
    <w:rsid w:val="6AA17F7A"/>
    <w:rsid w:val="6B2E2496"/>
    <w:rsid w:val="6DE14A80"/>
    <w:rsid w:val="6EF0762E"/>
    <w:rsid w:val="70480A38"/>
    <w:rsid w:val="707705DF"/>
    <w:rsid w:val="739F6935"/>
    <w:rsid w:val="75481A17"/>
    <w:rsid w:val="755604B6"/>
    <w:rsid w:val="767E1911"/>
    <w:rsid w:val="776F5737"/>
    <w:rsid w:val="77843CB0"/>
    <w:rsid w:val="78B0105E"/>
    <w:rsid w:val="79306E35"/>
    <w:rsid w:val="7A3C702D"/>
    <w:rsid w:val="7AB340E3"/>
    <w:rsid w:val="7B345CDF"/>
    <w:rsid w:val="7E171C98"/>
    <w:rsid w:val="7E230B83"/>
    <w:rsid w:val="7F82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2023-10-30T14:48:00Z</dcterms:created>
  <dc:creator>方利锋</dc:creator>
  <cp:lastModifiedBy>方利锋</cp:lastModifiedBy>
  <cp:lastPrinted>2023-12-01T04:41:00Z</cp:lastPrinted>
  <dcterms:modified xsi:type="dcterms:W3CDTF">2023-12-19T09:24:52Z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7482EF4D134A433F92AE50D111C8202E</vt:lpwstr>
  </property>
</Properties>
</file>